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4B35" w14:textId="59F3928A" w:rsidR="001E44C9" w:rsidRPr="001E44C9" w:rsidRDefault="001E44C9" w:rsidP="001E44C9">
      <w:pPr>
        <w:pStyle w:val="p1"/>
        <w:pBdr>
          <w:bottom w:val="single" w:sz="8" w:space="1" w:color="auto"/>
        </w:pBdr>
        <w:rPr>
          <w:sz w:val="22"/>
          <w:szCs w:val="22"/>
        </w:rPr>
      </w:pPr>
      <w:r w:rsidRPr="003647CD">
        <w:rPr>
          <w:sz w:val="28"/>
          <w:szCs w:val="28"/>
        </w:rPr>
        <w:t>MIZZOU QUALITY DIMENSIONS</w:t>
      </w:r>
      <w:r w:rsidR="00D328B4">
        <w:rPr>
          <w:sz w:val="22"/>
          <w:szCs w:val="22"/>
        </w:rPr>
        <w:tab/>
      </w:r>
      <w:r w:rsidR="00D328B4">
        <w:rPr>
          <w:sz w:val="22"/>
          <w:szCs w:val="22"/>
        </w:rPr>
        <w:tab/>
      </w:r>
      <w:r w:rsidR="00D328B4">
        <w:rPr>
          <w:sz w:val="22"/>
          <w:szCs w:val="22"/>
        </w:rPr>
        <w:tab/>
      </w:r>
      <w:r w:rsidR="00D328B4">
        <w:rPr>
          <w:sz w:val="22"/>
          <w:szCs w:val="22"/>
        </w:rPr>
        <w:tab/>
      </w:r>
      <w:r w:rsidR="00D328B4">
        <w:rPr>
          <w:sz w:val="22"/>
          <w:szCs w:val="22"/>
        </w:rPr>
        <w:tab/>
      </w:r>
      <w:r w:rsidR="00D328B4">
        <w:rPr>
          <w:sz w:val="22"/>
          <w:szCs w:val="22"/>
        </w:rPr>
        <w:tab/>
      </w:r>
      <w:r w:rsidR="00D328B4">
        <w:rPr>
          <w:sz w:val="22"/>
          <w:szCs w:val="22"/>
        </w:rPr>
        <w:tab/>
        <w:t>May 2026</w:t>
      </w:r>
    </w:p>
    <w:p w14:paraId="0B0D4C18" w14:textId="77777777" w:rsidR="001E44C9" w:rsidRDefault="001E44C9" w:rsidP="001E44C9">
      <w:pPr>
        <w:pStyle w:val="p1"/>
        <w:rPr>
          <w:b/>
          <w:bCs/>
          <w:sz w:val="22"/>
          <w:szCs w:val="22"/>
        </w:rPr>
      </w:pPr>
    </w:p>
    <w:p w14:paraId="523709F1" w14:textId="15878530" w:rsidR="001E44C9" w:rsidRPr="001E44C9" w:rsidRDefault="001E44C9" w:rsidP="001E44C9">
      <w:pPr>
        <w:pStyle w:val="p1"/>
        <w:rPr>
          <w:sz w:val="22"/>
          <w:szCs w:val="22"/>
        </w:rPr>
      </w:pPr>
      <w:r w:rsidRPr="001E44C9">
        <w:rPr>
          <w:b/>
          <w:bCs/>
          <w:sz w:val="22"/>
          <w:szCs w:val="22"/>
        </w:rPr>
        <w:t>What is a Quality Dimension?</w:t>
      </w:r>
    </w:p>
    <w:p w14:paraId="5C528DA9" w14:textId="1EB951F0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There are recognized HIPs categories (e.g., writing intensive, service learning, etc.), but doing HIPs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 xml:space="preserve">well is not just about </w:t>
      </w:r>
      <w:r w:rsidRPr="001E44C9">
        <w:rPr>
          <w:i/>
          <w:iCs/>
          <w:sz w:val="22"/>
          <w:szCs w:val="22"/>
        </w:rPr>
        <w:t xml:space="preserve">what </w:t>
      </w:r>
      <w:r w:rsidRPr="001E44C9">
        <w:rPr>
          <w:sz w:val="22"/>
          <w:szCs w:val="22"/>
        </w:rPr>
        <w:t xml:space="preserve">is being taught or checking a box, but it’s about </w:t>
      </w:r>
      <w:r w:rsidRPr="001E44C9">
        <w:rPr>
          <w:i/>
          <w:iCs/>
          <w:sz w:val="22"/>
          <w:szCs w:val="22"/>
        </w:rPr>
        <w:t>how</w:t>
      </w:r>
      <w:r w:rsidRPr="001E44C9">
        <w:rPr>
          <w:sz w:val="22"/>
          <w:szCs w:val="22"/>
        </w:rPr>
        <w:t xml:space="preserve"> it’s being taught.</w:t>
      </w:r>
      <w:r>
        <w:rPr>
          <w:sz w:val="22"/>
          <w:szCs w:val="22"/>
        </w:rPr>
        <w:t xml:space="preserve">  </w:t>
      </w:r>
      <w:r w:rsidRPr="001E44C9">
        <w:rPr>
          <w:sz w:val="22"/>
          <w:szCs w:val="22"/>
        </w:rPr>
        <w:t>That’s where the HIPs quality dimensions come in.</w:t>
      </w:r>
    </w:p>
    <w:p w14:paraId="1102133D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62720F87" w14:textId="132F8C95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Intentionally integrating these nationally recognized teaching practices into your course makes all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the difference in HIPs. This is what leads to those “unusually positive effects on student engagement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in educationally purposeful behavior” and getting your course into the “when done well” territory of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HIPs (Kuh, 2008).</w:t>
      </w:r>
    </w:p>
    <w:p w14:paraId="43077DF6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63C9E7A6" w14:textId="2D31B5C9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We operationalize this at Mizzou by requiring all HIPs courses to have a minimum of four Quality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Dimensions. Committees or offices that approve specific HIP category course attributes will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determine which four (or more) Quality Dimensions are required for that category and ensure they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me</w:t>
      </w:r>
      <w:r>
        <w:rPr>
          <w:sz w:val="22"/>
          <w:szCs w:val="22"/>
        </w:rPr>
        <w:t>e</w:t>
      </w:r>
      <w:r w:rsidRPr="001E44C9">
        <w:rPr>
          <w:sz w:val="22"/>
          <w:szCs w:val="22"/>
        </w:rPr>
        <w:t>t the expected standard. Instructors are welcome to incorporate additional Quality Dimensions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as appropriate and at a suitable level.</w:t>
      </w:r>
    </w:p>
    <w:p w14:paraId="467B99D1" w14:textId="77777777" w:rsidR="001E44C9" w:rsidRDefault="001E44C9" w:rsidP="003647CD">
      <w:pPr>
        <w:pStyle w:val="p1"/>
        <w:pBdr>
          <w:bottom w:val="single" w:sz="8" w:space="1" w:color="auto"/>
        </w:pBdr>
        <w:spacing w:line="240" w:lineRule="exact"/>
        <w:rPr>
          <w:b/>
          <w:bCs/>
          <w:sz w:val="22"/>
          <w:szCs w:val="22"/>
        </w:rPr>
      </w:pPr>
    </w:p>
    <w:p w14:paraId="555D01FE" w14:textId="77777777" w:rsidR="003647CD" w:rsidRDefault="003647CD" w:rsidP="001E44C9">
      <w:pPr>
        <w:pStyle w:val="p1"/>
        <w:rPr>
          <w:b/>
          <w:bCs/>
          <w:sz w:val="22"/>
          <w:szCs w:val="22"/>
        </w:rPr>
      </w:pPr>
    </w:p>
    <w:p w14:paraId="53C8BEB2" w14:textId="7049AC1F" w:rsidR="001E44C9" w:rsidRPr="001E44C9" w:rsidRDefault="001E44C9" w:rsidP="001E44C9">
      <w:pPr>
        <w:pStyle w:val="p1"/>
        <w:rPr>
          <w:sz w:val="22"/>
          <w:szCs w:val="22"/>
        </w:rPr>
      </w:pPr>
      <w:r w:rsidRPr="001E44C9">
        <w:rPr>
          <w:b/>
          <w:bCs/>
          <w:sz w:val="22"/>
          <w:szCs w:val="22"/>
        </w:rPr>
        <w:t>1 - Performance expectations set at appropriately high levels</w:t>
      </w:r>
    </w:p>
    <w:p w14:paraId="14F42669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179F0CC2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WHAT:</w:t>
      </w:r>
      <w:r w:rsidR="00D328B4">
        <w:rPr>
          <w:sz w:val="22"/>
          <w:szCs w:val="22"/>
        </w:rPr>
        <w:t xml:space="preserve">  </w:t>
      </w:r>
    </w:p>
    <w:p w14:paraId="44F3E5BB" w14:textId="28A33117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This dimension emphasizes setting rigorous, developmentally appropriate academic standards that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build on prior learning and use structured scaffolding to support students in achieving progressively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more ambitious learning outcomes.</w:t>
      </w:r>
    </w:p>
    <w:p w14:paraId="3BE0A0DB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651D1B0A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WHY:</w:t>
      </w:r>
      <w:r w:rsidR="00D328B4">
        <w:rPr>
          <w:sz w:val="22"/>
          <w:szCs w:val="22"/>
        </w:rPr>
        <w:t xml:space="preserve">  </w:t>
      </w:r>
    </w:p>
    <w:p w14:paraId="2E434DDC" w14:textId="055D3DEB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At Mizzou we aspire to academic excellence, which includes challenging students to extend their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thinking and fully develop their academic abilities. When paired with structured support and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scaffolding, high expectations promote persistence, deeper learning, and sustained intellectual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growth rather than frustration or disengagement.</w:t>
      </w:r>
    </w:p>
    <w:p w14:paraId="79E96CDD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670EB51B" w14:textId="3387C04F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EXAMPLES:</w:t>
      </w:r>
    </w:p>
    <w:p w14:paraId="59484B9A" w14:textId="77777777" w:rsidR="001E44C9" w:rsidRDefault="001E44C9" w:rsidP="003647CD">
      <w:pPr>
        <w:pStyle w:val="p1"/>
        <w:numPr>
          <w:ilvl w:val="0"/>
          <w:numId w:val="6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Service Learning: Course design leads to student competency development that merits a rating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 xml:space="preserve">as high on the NACE Competency Likert scale by their </w:t>
      </w:r>
      <w:proofErr w:type="gramStart"/>
      <w:r w:rsidRPr="001E44C9">
        <w:rPr>
          <w:sz w:val="22"/>
          <w:szCs w:val="22"/>
        </w:rPr>
        <w:t>Service Learning</w:t>
      </w:r>
      <w:proofErr w:type="gramEnd"/>
      <w:r w:rsidRPr="001E44C9">
        <w:rPr>
          <w:sz w:val="22"/>
          <w:szCs w:val="22"/>
        </w:rPr>
        <w:t xml:space="preserve"> Site supervisor.</w:t>
      </w:r>
      <w:r>
        <w:rPr>
          <w:sz w:val="22"/>
          <w:szCs w:val="22"/>
        </w:rPr>
        <w:t xml:space="preserve"> </w:t>
      </w:r>
    </w:p>
    <w:p w14:paraId="3B0D5792" w14:textId="4DFADC4D" w:rsidR="001E44C9" w:rsidRPr="001E44C9" w:rsidRDefault="001E44C9" w:rsidP="003647CD">
      <w:pPr>
        <w:pStyle w:val="p1"/>
        <w:numPr>
          <w:ilvl w:val="0"/>
          <w:numId w:val="6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Writing Intensive: Students might begin with short analytical essays and progressively develop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toward a scaffolded, comprehensive final paper that builds on prior feedback and increasingly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complex rhetorical skills.</w:t>
      </w:r>
    </w:p>
    <w:p w14:paraId="7CEED419" w14:textId="77777777" w:rsidR="003647CD" w:rsidRDefault="003647CD" w:rsidP="003647CD">
      <w:pPr>
        <w:pStyle w:val="p1"/>
        <w:spacing w:line="240" w:lineRule="exact"/>
        <w:rPr>
          <w:b/>
          <w:bCs/>
          <w:sz w:val="22"/>
          <w:szCs w:val="22"/>
        </w:rPr>
      </w:pPr>
    </w:p>
    <w:p w14:paraId="7F9E7B25" w14:textId="77777777" w:rsidR="003647CD" w:rsidRDefault="003647CD" w:rsidP="003647CD">
      <w:pPr>
        <w:pStyle w:val="p1"/>
        <w:spacing w:line="240" w:lineRule="exact"/>
        <w:rPr>
          <w:b/>
          <w:bCs/>
          <w:sz w:val="22"/>
          <w:szCs w:val="22"/>
        </w:rPr>
      </w:pPr>
    </w:p>
    <w:p w14:paraId="09E558A7" w14:textId="0B025625" w:rsidR="001E44C9" w:rsidRPr="001E44C9" w:rsidRDefault="001E44C9" w:rsidP="001E44C9">
      <w:pPr>
        <w:pStyle w:val="p1"/>
        <w:rPr>
          <w:sz w:val="22"/>
          <w:szCs w:val="22"/>
        </w:rPr>
      </w:pPr>
      <w:r w:rsidRPr="001E44C9">
        <w:rPr>
          <w:b/>
          <w:bCs/>
          <w:sz w:val="22"/>
          <w:szCs w:val="22"/>
        </w:rPr>
        <w:t xml:space="preserve">2 - Investment of significant and meaningful time and effort over an extended </w:t>
      </w:r>
      <w:proofErr w:type="gramStart"/>
      <w:r w:rsidRPr="001E44C9">
        <w:rPr>
          <w:b/>
          <w:bCs/>
          <w:sz w:val="22"/>
          <w:szCs w:val="22"/>
        </w:rPr>
        <w:t>period of time</w:t>
      </w:r>
      <w:proofErr w:type="gramEnd"/>
    </w:p>
    <w:p w14:paraId="1A4FFCE3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6B9D1C8D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WHAT:</w:t>
      </w:r>
      <w:r w:rsidR="00D328B4">
        <w:rPr>
          <w:sz w:val="22"/>
          <w:szCs w:val="22"/>
        </w:rPr>
        <w:t xml:space="preserve">  </w:t>
      </w:r>
    </w:p>
    <w:p w14:paraId="013A4880" w14:textId="257098A8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In this dimension, students engage in a sustained, term-long, high-effort experience that includes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planning, doing, and reflecting on a major project or applied activity.</w:t>
      </w:r>
    </w:p>
    <w:p w14:paraId="28B591FA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7289A44A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WHY:</w:t>
      </w:r>
      <w:r w:rsidR="00D328B4">
        <w:rPr>
          <w:sz w:val="22"/>
          <w:szCs w:val="22"/>
        </w:rPr>
        <w:t xml:space="preserve">  </w:t>
      </w:r>
    </w:p>
    <w:p w14:paraId="43BDE234" w14:textId="2FB5F520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Sustained engagement helps students deepen disciplinary learning by applying concepts in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authentic contexts over time rather than encountering them only in isolated assignments. It also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builds transferable skills such as critical thinking, communication, and professional self-awareness.</w:t>
      </w:r>
    </w:p>
    <w:p w14:paraId="238D693A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2C9348BD" w14:textId="77777777" w:rsidR="003647CD" w:rsidRDefault="003647CD" w:rsidP="003647CD">
      <w:pPr>
        <w:pStyle w:val="p1"/>
        <w:spacing w:line="240" w:lineRule="exact"/>
        <w:rPr>
          <w:sz w:val="22"/>
          <w:szCs w:val="22"/>
        </w:rPr>
      </w:pPr>
    </w:p>
    <w:p w14:paraId="08155370" w14:textId="77777777" w:rsidR="003647CD" w:rsidRDefault="003647CD" w:rsidP="003647CD">
      <w:pPr>
        <w:pStyle w:val="p1"/>
        <w:spacing w:line="240" w:lineRule="exact"/>
        <w:rPr>
          <w:sz w:val="22"/>
          <w:szCs w:val="22"/>
        </w:rPr>
      </w:pPr>
    </w:p>
    <w:p w14:paraId="669BC399" w14:textId="295A4BA9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lastRenderedPageBreak/>
        <w:t>EXAMPLES:</w:t>
      </w:r>
    </w:p>
    <w:p w14:paraId="56533F97" w14:textId="2C4B0D93" w:rsidR="001E44C9" w:rsidRPr="001E44C9" w:rsidRDefault="001E44C9" w:rsidP="003647CD">
      <w:pPr>
        <w:pStyle w:val="p1"/>
        <w:numPr>
          <w:ilvl w:val="0"/>
          <w:numId w:val="10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Study Abroad: Students spend 6 or more days actively engaged in another country, combined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with pre-departure and/or post-travel coursework totaling the length of the academic term.</w:t>
      </w:r>
    </w:p>
    <w:p w14:paraId="7F81ABD1" w14:textId="659D37DD" w:rsidR="001E44C9" w:rsidRPr="001E44C9" w:rsidRDefault="001E44C9" w:rsidP="003647CD">
      <w:pPr>
        <w:pStyle w:val="p1"/>
        <w:numPr>
          <w:ilvl w:val="0"/>
          <w:numId w:val="10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Research Intensive: Course starts with learning basic experimental techniques and practicing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collection and analysis on a pre-established project. Over the course of the semester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students develop their own experiments, deciding upon their own variables and research</w:t>
      </w:r>
      <w:r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questions, cumulating in analysis and presenting conclusions.</w:t>
      </w:r>
    </w:p>
    <w:p w14:paraId="5747EA2C" w14:textId="77777777" w:rsidR="003647CD" w:rsidRDefault="003647CD" w:rsidP="003647CD">
      <w:pPr>
        <w:pStyle w:val="p1"/>
        <w:spacing w:line="240" w:lineRule="exact"/>
        <w:rPr>
          <w:b/>
          <w:bCs/>
          <w:sz w:val="22"/>
          <w:szCs w:val="22"/>
        </w:rPr>
      </w:pPr>
    </w:p>
    <w:p w14:paraId="2CA95EC6" w14:textId="030A9E88" w:rsidR="001E44C9" w:rsidRPr="001E44C9" w:rsidRDefault="001E44C9" w:rsidP="001E44C9">
      <w:pPr>
        <w:pStyle w:val="p1"/>
        <w:rPr>
          <w:sz w:val="22"/>
          <w:szCs w:val="22"/>
        </w:rPr>
      </w:pPr>
      <w:r w:rsidRPr="001E44C9">
        <w:rPr>
          <w:b/>
          <w:bCs/>
          <w:sz w:val="22"/>
          <w:szCs w:val="22"/>
        </w:rPr>
        <w:t>3 - Meaningful interactions amongst students and faculty about substantive matters</w:t>
      </w:r>
    </w:p>
    <w:p w14:paraId="2AB31B1D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65A96C8B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WHAT:</w:t>
      </w:r>
      <w:r w:rsidR="00D328B4">
        <w:rPr>
          <w:sz w:val="22"/>
          <w:szCs w:val="22"/>
        </w:rPr>
        <w:t xml:space="preserve">  </w:t>
      </w:r>
    </w:p>
    <w:p w14:paraId="20DDFB7C" w14:textId="7BFAF582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In this dimension, student interactions with faculty, staff and peers concern course learning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outcomes and are intentional, personalized, and ongoing inside and outside the classroom.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Interactions foster developmental conversations, collaboration, intellectual and professional growth,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and an active application of learning.</w:t>
      </w:r>
    </w:p>
    <w:p w14:paraId="629525B8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42100775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WHY:</w:t>
      </w:r>
      <w:r w:rsidR="00D328B4">
        <w:rPr>
          <w:sz w:val="22"/>
          <w:szCs w:val="22"/>
        </w:rPr>
        <w:t xml:space="preserve">  </w:t>
      </w:r>
    </w:p>
    <w:p w14:paraId="7913ECCE" w14:textId="580139B7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Interactions on meaningful matters between students and instructors are important because they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deepen learning through sustained and respectful dialogue, collaborative learning, feedback, and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integrative thinking that extends beyond individual courses. In addition to strengthening students’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intellectual confidence and professional growth, these experiences develop students'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understanding/sense of responsibility to our community and world.</w:t>
      </w:r>
    </w:p>
    <w:p w14:paraId="1B9362D9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0C709319" w14:textId="0ED4FA4F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EXAMPLES:</w:t>
      </w:r>
    </w:p>
    <w:p w14:paraId="31970B07" w14:textId="24E671A7" w:rsidR="001E44C9" w:rsidRPr="001E44C9" w:rsidRDefault="001E44C9" w:rsidP="003647CD">
      <w:pPr>
        <w:pStyle w:val="p1"/>
        <w:numPr>
          <w:ilvl w:val="0"/>
          <w:numId w:val="11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Service Learning: Course, a faculty member meets regularly with small groups of students to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reflect on their community work, connect their experiences to course theory, provide iterative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feedback on reflective journals, and guide students in presenting recommendations to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community partners.</w:t>
      </w:r>
    </w:p>
    <w:p w14:paraId="44A2F57A" w14:textId="53C611A7" w:rsidR="001E44C9" w:rsidRDefault="001E44C9" w:rsidP="003647CD">
      <w:pPr>
        <w:pStyle w:val="p1"/>
        <w:numPr>
          <w:ilvl w:val="0"/>
          <w:numId w:val="11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Study Abroad: The faculty leader holds structured discussions and one-on-one conferences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throughout the program to help students analyze cultural experiences in relation to disciplinary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concepts, refine research or field projects, and integrate their learning into future academic and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career plans.</w:t>
      </w:r>
    </w:p>
    <w:p w14:paraId="15E2A7EA" w14:textId="77777777" w:rsidR="003647CD" w:rsidRPr="003647CD" w:rsidRDefault="003647CD" w:rsidP="003647CD">
      <w:pPr>
        <w:pStyle w:val="p1"/>
        <w:spacing w:line="240" w:lineRule="exact"/>
        <w:rPr>
          <w:sz w:val="22"/>
          <w:szCs w:val="22"/>
        </w:rPr>
      </w:pPr>
    </w:p>
    <w:p w14:paraId="4FD676DE" w14:textId="0043D084" w:rsidR="001E44C9" w:rsidRPr="001E44C9" w:rsidRDefault="001E44C9" w:rsidP="001E44C9">
      <w:pPr>
        <w:pStyle w:val="p1"/>
        <w:rPr>
          <w:sz w:val="22"/>
          <w:szCs w:val="22"/>
        </w:rPr>
      </w:pPr>
      <w:r w:rsidRPr="001E44C9">
        <w:rPr>
          <w:b/>
          <w:bCs/>
          <w:sz w:val="22"/>
          <w:szCs w:val="22"/>
        </w:rPr>
        <w:t>4 - Interactions with individuals with life experiences different from their own</w:t>
      </w:r>
    </w:p>
    <w:p w14:paraId="0FC398AB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69EA2E5B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WHAT:</w:t>
      </w:r>
      <w:r w:rsidR="00D328B4">
        <w:rPr>
          <w:sz w:val="22"/>
          <w:szCs w:val="22"/>
        </w:rPr>
        <w:t xml:space="preserve">  </w:t>
      </w:r>
    </w:p>
    <w:p w14:paraId="17783FF9" w14:textId="18901108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This dimension centers on experiences that place students in meaningful engagement with people,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perspectives, or environments unlike their own and require them to navigate unfamiliarity, adapt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their communication and assumptions, and participate in structured meaning-making with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feedback. The course should be designed to provide students with structure and support t</w:t>
      </w:r>
      <w:r w:rsidR="003865EE">
        <w:rPr>
          <w:sz w:val="22"/>
          <w:szCs w:val="22"/>
        </w:rPr>
        <w:t xml:space="preserve">o </w:t>
      </w:r>
      <w:r w:rsidRPr="001E44C9">
        <w:rPr>
          <w:sz w:val="22"/>
          <w:szCs w:val="22"/>
        </w:rPr>
        <w:t>navigate the unfamiliar.</w:t>
      </w:r>
    </w:p>
    <w:p w14:paraId="5682D165" w14:textId="77777777" w:rsidR="001E44C9" w:rsidRDefault="001E44C9" w:rsidP="003647CD">
      <w:pPr>
        <w:pStyle w:val="p1"/>
        <w:spacing w:line="240" w:lineRule="exact"/>
        <w:rPr>
          <w:sz w:val="22"/>
          <w:szCs w:val="22"/>
        </w:rPr>
      </w:pPr>
    </w:p>
    <w:p w14:paraId="623EA6C0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WHY:</w:t>
      </w:r>
      <w:r w:rsidR="00D328B4">
        <w:rPr>
          <w:sz w:val="22"/>
          <w:szCs w:val="22"/>
        </w:rPr>
        <w:t xml:space="preserve">  </w:t>
      </w:r>
    </w:p>
    <w:p w14:paraId="58492128" w14:textId="35B0FF4B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These intentional learning experiences help students build the skills needed to collaborate across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differences in workplaces and communities where assumptions, norms, and communication styles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vary, in line with the Mizzou value of Respect and the NACE competency of social adaptability. They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also promote deeper learning by pushing students to reflect on their own perspectives, interpret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unfamiliar contexts, and make more informed and ethical decisions.</w:t>
      </w:r>
    </w:p>
    <w:p w14:paraId="656CB98B" w14:textId="77777777" w:rsidR="003865EE" w:rsidRDefault="003865EE" w:rsidP="003647CD">
      <w:pPr>
        <w:pStyle w:val="p1"/>
        <w:spacing w:line="240" w:lineRule="exact"/>
        <w:rPr>
          <w:sz w:val="22"/>
          <w:szCs w:val="22"/>
        </w:rPr>
      </w:pPr>
    </w:p>
    <w:p w14:paraId="0889D154" w14:textId="02AA96ED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EXAMPLES:</w:t>
      </w:r>
    </w:p>
    <w:p w14:paraId="5DA82501" w14:textId="7D631F9A" w:rsidR="001E44C9" w:rsidRPr="001E44C9" w:rsidRDefault="001E44C9" w:rsidP="003647CD">
      <w:pPr>
        <w:pStyle w:val="p1"/>
        <w:numPr>
          <w:ilvl w:val="0"/>
          <w:numId w:val="13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Research Intensive: In a course-based research project, students partner with a community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organization to co-design interview protocols and interpret findings with stakeholders whose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lived experiences differ from their own, requiring them to adapt their communication,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lastRenderedPageBreak/>
        <w:t>interrogate assumptions, and produce a feedback-informed research memo tied to course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concepts.</w:t>
      </w:r>
    </w:p>
    <w:p w14:paraId="7913CA63" w14:textId="5EC05E57" w:rsidR="001E44C9" w:rsidRPr="001E44C9" w:rsidRDefault="001E44C9" w:rsidP="003647CD">
      <w:pPr>
        <w:pStyle w:val="p1"/>
        <w:numPr>
          <w:ilvl w:val="0"/>
          <w:numId w:val="13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Internships: In a course-based internship, students work in a professional site serving clients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from backgrounds unlike their own and complete structured tasks that require culturally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responsive communication, followed by a supervisor-informed debrief or reflective analysis that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links workplace experiences to explicit course learning goals.</w:t>
      </w:r>
    </w:p>
    <w:p w14:paraId="4932AEE1" w14:textId="77777777" w:rsidR="003647CD" w:rsidRDefault="003647CD" w:rsidP="003647CD">
      <w:pPr>
        <w:pStyle w:val="p1"/>
        <w:spacing w:line="240" w:lineRule="exact"/>
        <w:rPr>
          <w:b/>
          <w:bCs/>
          <w:sz w:val="22"/>
          <w:szCs w:val="22"/>
        </w:rPr>
      </w:pPr>
    </w:p>
    <w:p w14:paraId="07483579" w14:textId="2ED8B189" w:rsidR="001E44C9" w:rsidRDefault="001E44C9" w:rsidP="001E44C9">
      <w:pPr>
        <w:pStyle w:val="p1"/>
        <w:rPr>
          <w:b/>
          <w:bCs/>
          <w:sz w:val="22"/>
          <w:szCs w:val="22"/>
        </w:rPr>
      </w:pPr>
      <w:r w:rsidRPr="001E44C9">
        <w:rPr>
          <w:b/>
          <w:bCs/>
          <w:sz w:val="22"/>
          <w:szCs w:val="22"/>
        </w:rPr>
        <w:t>5 - Frequent, timely, constructive feedback</w:t>
      </w:r>
    </w:p>
    <w:p w14:paraId="499DF04F" w14:textId="77777777" w:rsidR="003865EE" w:rsidRPr="001E44C9" w:rsidRDefault="003865EE" w:rsidP="003647CD">
      <w:pPr>
        <w:pStyle w:val="p1"/>
        <w:spacing w:line="240" w:lineRule="exact"/>
        <w:rPr>
          <w:sz w:val="22"/>
          <w:szCs w:val="22"/>
        </w:rPr>
      </w:pPr>
    </w:p>
    <w:p w14:paraId="42F7C0EC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WHAT:</w:t>
      </w:r>
      <w:r w:rsidR="00D328B4">
        <w:rPr>
          <w:sz w:val="22"/>
          <w:szCs w:val="22"/>
        </w:rPr>
        <w:t xml:space="preserve">  </w:t>
      </w:r>
    </w:p>
    <w:p w14:paraId="2D740F08" w14:textId="047CCE01" w:rsid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In this dimension, students receive formative, constructive and targeted feedback throughout the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course, with actionable guidance that supports progress, revision, and completion.</w:t>
      </w:r>
    </w:p>
    <w:p w14:paraId="12FAF05D" w14:textId="77777777" w:rsidR="003865EE" w:rsidRPr="001E44C9" w:rsidRDefault="003865EE" w:rsidP="003647CD">
      <w:pPr>
        <w:pStyle w:val="p1"/>
        <w:spacing w:line="240" w:lineRule="exact"/>
        <w:rPr>
          <w:sz w:val="22"/>
          <w:szCs w:val="22"/>
        </w:rPr>
      </w:pPr>
    </w:p>
    <w:p w14:paraId="3B2B3AD5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WHY:</w:t>
      </w:r>
      <w:r w:rsidR="00D328B4">
        <w:rPr>
          <w:sz w:val="22"/>
          <w:szCs w:val="22"/>
        </w:rPr>
        <w:t xml:space="preserve">  </w:t>
      </w:r>
    </w:p>
    <w:p w14:paraId="0BCCBBBF" w14:textId="23C0EC05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Frequent, prompt feedback helps students identify issues early and adjust their approach before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those issues compound into larger barriers to learning. Constructive guidance also clarifies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expectations and next steps, which can validate the student experience and supports sustained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progress and higher-quality final work, especially for multi-step assignments.</w:t>
      </w:r>
    </w:p>
    <w:p w14:paraId="5D8CA8A3" w14:textId="77777777" w:rsidR="003865EE" w:rsidRDefault="003865EE" w:rsidP="003647CD">
      <w:pPr>
        <w:pStyle w:val="p1"/>
        <w:spacing w:line="240" w:lineRule="exact"/>
        <w:rPr>
          <w:sz w:val="22"/>
          <w:szCs w:val="22"/>
        </w:rPr>
      </w:pPr>
    </w:p>
    <w:p w14:paraId="484B4E3A" w14:textId="08FC992A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EXAMPLES:</w:t>
      </w:r>
    </w:p>
    <w:p w14:paraId="150FCF03" w14:textId="3346F2F5" w:rsidR="001E44C9" w:rsidRPr="001E44C9" w:rsidRDefault="001E44C9" w:rsidP="003647CD">
      <w:pPr>
        <w:pStyle w:val="p1"/>
        <w:numPr>
          <w:ilvl w:val="0"/>
          <w:numId w:val="14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Writing Intensive: In a creative writing course, students submit weekly writing exercises and a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short workshop draft twice during the term, receiving peer workshop notes and instructor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margin comments within one week, then edit based on a required revision plan before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submitting the polished portfolio and reflective artist statement.</w:t>
      </w:r>
    </w:p>
    <w:p w14:paraId="41A6C50E" w14:textId="43E36E54" w:rsidR="001E44C9" w:rsidRDefault="001E44C9" w:rsidP="003647CD">
      <w:pPr>
        <w:pStyle w:val="p1"/>
        <w:numPr>
          <w:ilvl w:val="0"/>
          <w:numId w:val="14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Internship: Interns complete an early learning contract and midpoint progress memo, receiving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supervisor feedback and goal adjustments within a week, then participate in brief weekly check-ins on deliverables such as constituent briefings or policy summaries with targeted guidance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before the final report and presentation.</w:t>
      </w:r>
    </w:p>
    <w:p w14:paraId="7BA7C39B" w14:textId="77777777" w:rsidR="003865EE" w:rsidRDefault="003865EE" w:rsidP="003647CD">
      <w:pPr>
        <w:pStyle w:val="p1"/>
        <w:spacing w:line="240" w:lineRule="exact"/>
        <w:rPr>
          <w:sz w:val="22"/>
          <w:szCs w:val="22"/>
        </w:rPr>
      </w:pPr>
    </w:p>
    <w:p w14:paraId="35E28008" w14:textId="77777777" w:rsidR="001E44C9" w:rsidRPr="001E44C9" w:rsidRDefault="001E44C9" w:rsidP="001E44C9">
      <w:pPr>
        <w:pStyle w:val="p1"/>
        <w:rPr>
          <w:sz w:val="22"/>
          <w:szCs w:val="22"/>
        </w:rPr>
      </w:pPr>
      <w:r w:rsidRPr="001E44C9">
        <w:rPr>
          <w:b/>
          <w:bCs/>
          <w:sz w:val="22"/>
          <w:szCs w:val="22"/>
        </w:rPr>
        <w:t>6 - Periodic, structured opportunities to reflect and integrate learning</w:t>
      </w:r>
    </w:p>
    <w:p w14:paraId="283F8073" w14:textId="77777777" w:rsidR="00D328B4" w:rsidRDefault="00D328B4" w:rsidP="003647CD">
      <w:pPr>
        <w:pStyle w:val="p1"/>
        <w:spacing w:line="240" w:lineRule="exact"/>
        <w:rPr>
          <w:sz w:val="22"/>
          <w:szCs w:val="22"/>
        </w:rPr>
      </w:pPr>
    </w:p>
    <w:p w14:paraId="515F5B57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WHAT:</w:t>
      </w:r>
      <w:r w:rsidR="00D328B4">
        <w:rPr>
          <w:sz w:val="22"/>
          <w:szCs w:val="22"/>
        </w:rPr>
        <w:t xml:space="preserve">  </w:t>
      </w:r>
    </w:p>
    <w:p w14:paraId="14CA9F00" w14:textId="5CAF6FC2" w:rsid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In this quality dimension, students engage in regular structured reflection activities that critically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examine and connect knowledge, skills, and feedback, with a focus on growth and integration to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align with future educational, career, and life goals.</w:t>
      </w:r>
    </w:p>
    <w:p w14:paraId="4758178B" w14:textId="77777777" w:rsidR="003865EE" w:rsidRPr="001E44C9" w:rsidRDefault="003865EE" w:rsidP="003647CD">
      <w:pPr>
        <w:pStyle w:val="p1"/>
        <w:spacing w:line="240" w:lineRule="exact"/>
        <w:rPr>
          <w:sz w:val="22"/>
          <w:szCs w:val="22"/>
        </w:rPr>
      </w:pPr>
    </w:p>
    <w:p w14:paraId="78A9C394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WHY:</w:t>
      </w:r>
      <w:r w:rsidR="00D328B4">
        <w:rPr>
          <w:sz w:val="22"/>
          <w:szCs w:val="22"/>
        </w:rPr>
        <w:t xml:space="preserve">  </w:t>
      </w:r>
    </w:p>
    <w:p w14:paraId="430F49B9" w14:textId="523FE7BB" w:rsid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Structured reflection matters because it helps students connect and integrate new ideas to what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they already know and have experienced, which leads to deeper and more usable learning. It also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supports personal and professional growth by helping students notice progress over time and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 xml:space="preserve">across </w:t>
      </w:r>
      <w:proofErr w:type="gramStart"/>
      <w:r w:rsidRPr="001E44C9">
        <w:rPr>
          <w:sz w:val="22"/>
          <w:szCs w:val="22"/>
        </w:rPr>
        <w:t>disciplines, and</w:t>
      </w:r>
      <w:proofErr w:type="gramEnd"/>
      <w:r w:rsidRPr="001E44C9">
        <w:rPr>
          <w:sz w:val="22"/>
          <w:szCs w:val="22"/>
        </w:rPr>
        <w:t xml:space="preserve"> make clear plans for applying what they learned in future classes, work, and</w:t>
      </w:r>
      <w:r w:rsidR="003865EE">
        <w:rPr>
          <w:sz w:val="22"/>
          <w:szCs w:val="22"/>
        </w:rPr>
        <w:t xml:space="preserve"> l</w:t>
      </w:r>
      <w:r w:rsidRPr="001E44C9">
        <w:rPr>
          <w:sz w:val="22"/>
          <w:szCs w:val="22"/>
        </w:rPr>
        <w:t>ife.</w:t>
      </w:r>
    </w:p>
    <w:p w14:paraId="2E8A35FC" w14:textId="77777777" w:rsidR="003865EE" w:rsidRPr="001E44C9" w:rsidRDefault="003865EE" w:rsidP="003647CD">
      <w:pPr>
        <w:pStyle w:val="p1"/>
        <w:spacing w:line="240" w:lineRule="exact"/>
        <w:rPr>
          <w:sz w:val="22"/>
          <w:szCs w:val="22"/>
        </w:rPr>
      </w:pPr>
    </w:p>
    <w:p w14:paraId="3C8C271B" w14:textId="77777777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EXAMPLES:</w:t>
      </w:r>
    </w:p>
    <w:p w14:paraId="09299050" w14:textId="66D56524" w:rsidR="001E44C9" w:rsidRDefault="001E44C9" w:rsidP="003647CD">
      <w:pPr>
        <w:pStyle w:val="p1"/>
        <w:numPr>
          <w:ilvl w:val="0"/>
          <w:numId w:val="15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Research Intensive: Students complete short guided reflections at the start, midpoint, and end of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the semester to connect knowledge and behaviors (e.g., lab skills, ethical data collection) with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learning outcomes related to other classes and their major, document how their confidence and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scientific thinking change over time, and identify specific practices they will carry into future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research or graduate study.</w:t>
      </w:r>
    </w:p>
    <w:p w14:paraId="1A7A94CB" w14:textId="77238D21" w:rsidR="00D328B4" w:rsidRDefault="001E44C9" w:rsidP="003647CD">
      <w:pPr>
        <w:pStyle w:val="p1"/>
        <w:numPr>
          <w:ilvl w:val="0"/>
          <w:numId w:val="15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Study Abr</w:t>
      </w:r>
      <w:r w:rsidR="00D328B4">
        <w:rPr>
          <w:sz w:val="22"/>
          <w:szCs w:val="22"/>
        </w:rPr>
        <w:t>oa</w:t>
      </w:r>
      <w:r w:rsidRPr="001E44C9">
        <w:rPr>
          <w:sz w:val="22"/>
          <w:szCs w:val="22"/>
        </w:rPr>
        <w:t>d: Students complete structured reflections before departure, during site visits (e.g.,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Bundestag or local councils), and after returning to link political science concepts with lived</w:t>
      </w:r>
      <w:r w:rsidR="003865EE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observations and intercultural experiences, track how their assumptions about governance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evolve, and articulate how they will apply these insights in later coursework, civic engagement,</w:t>
      </w:r>
      <w:r w:rsidR="00D328B4">
        <w:rPr>
          <w:sz w:val="22"/>
          <w:szCs w:val="22"/>
        </w:rPr>
        <w:t xml:space="preserve"> </w:t>
      </w:r>
      <w:r w:rsidRPr="00D328B4">
        <w:rPr>
          <w:sz w:val="22"/>
          <w:szCs w:val="22"/>
        </w:rPr>
        <w:t>or career planning.</w:t>
      </w:r>
    </w:p>
    <w:p w14:paraId="29227592" w14:textId="2C4B19A5" w:rsidR="001E44C9" w:rsidRPr="001E44C9" w:rsidRDefault="001E44C9" w:rsidP="001E44C9">
      <w:pPr>
        <w:pStyle w:val="p1"/>
        <w:rPr>
          <w:sz w:val="22"/>
          <w:szCs w:val="22"/>
        </w:rPr>
      </w:pPr>
      <w:r w:rsidRPr="001E44C9">
        <w:rPr>
          <w:b/>
          <w:bCs/>
          <w:sz w:val="22"/>
          <w:szCs w:val="22"/>
        </w:rPr>
        <w:lastRenderedPageBreak/>
        <w:t xml:space="preserve">7 - Real </w:t>
      </w:r>
      <w:r w:rsidR="003647CD">
        <w:rPr>
          <w:b/>
          <w:bCs/>
          <w:sz w:val="22"/>
          <w:szCs w:val="22"/>
        </w:rPr>
        <w:t>w</w:t>
      </w:r>
      <w:r w:rsidRPr="001E44C9">
        <w:rPr>
          <w:b/>
          <w:bCs/>
          <w:sz w:val="22"/>
          <w:szCs w:val="22"/>
        </w:rPr>
        <w:t xml:space="preserve">orld </w:t>
      </w:r>
      <w:r w:rsidR="003647CD">
        <w:rPr>
          <w:b/>
          <w:bCs/>
          <w:sz w:val="22"/>
          <w:szCs w:val="22"/>
        </w:rPr>
        <w:t>a</w:t>
      </w:r>
      <w:r w:rsidRPr="001E44C9">
        <w:rPr>
          <w:b/>
          <w:bCs/>
          <w:sz w:val="22"/>
          <w:szCs w:val="22"/>
        </w:rPr>
        <w:t>pplication</w:t>
      </w:r>
    </w:p>
    <w:p w14:paraId="5EC663F6" w14:textId="77777777" w:rsidR="00D328B4" w:rsidRDefault="00D328B4" w:rsidP="003647CD">
      <w:pPr>
        <w:pStyle w:val="p1"/>
        <w:spacing w:line="240" w:lineRule="exact"/>
        <w:rPr>
          <w:sz w:val="22"/>
          <w:szCs w:val="22"/>
        </w:rPr>
      </w:pPr>
    </w:p>
    <w:p w14:paraId="78B1EBC9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WHAT:</w:t>
      </w:r>
      <w:r w:rsidR="00D328B4">
        <w:rPr>
          <w:sz w:val="22"/>
          <w:szCs w:val="22"/>
        </w:rPr>
        <w:t xml:space="preserve">  </w:t>
      </w:r>
    </w:p>
    <w:p w14:paraId="5B4CBB95" w14:textId="2548E625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Students intentionally apply course concepts, disciplinary knowledge, or academic skills to authentic</w:t>
      </w:r>
      <w:r w:rsidR="00D328B4">
        <w:rPr>
          <w:sz w:val="22"/>
          <w:szCs w:val="22"/>
        </w:rPr>
        <w:t xml:space="preserve">. </w:t>
      </w:r>
      <w:r w:rsidRPr="001E44C9">
        <w:rPr>
          <w:sz w:val="22"/>
          <w:szCs w:val="22"/>
        </w:rPr>
        <w:t>problems and contexts outside the classroom.</w:t>
      </w:r>
    </w:p>
    <w:p w14:paraId="1B42D7C4" w14:textId="77777777" w:rsidR="00D328B4" w:rsidRDefault="00D328B4" w:rsidP="003647CD">
      <w:pPr>
        <w:pStyle w:val="p1"/>
        <w:spacing w:line="240" w:lineRule="exact"/>
        <w:rPr>
          <w:sz w:val="22"/>
          <w:szCs w:val="22"/>
        </w:rPr>
      </w:pPr>
    </w:p>
    <w:p w14:paraId="791E950C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WHY:</w:t>
      </w:r>
      <w:r w:rsidR="00D328B4">
        <w:rPr>
          <w:sz w:val="22"/>
          <w:szCs w:val="22"/>
        </w:rPr>
        <w:t xml:space="preserve">  </w:t>
      </w:r>
    </w:p>
    <w:p w14:paraId="37CBE349" w14:textId="41AF3204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This dimension demonstrates how higher education generates usable knowledge, critical thinking,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and problem-solving that matter beyond the university, making its value visible in professional, civic,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and social contexts. It ensures students understand how their learning operates in real-world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engagement, strengthens transfer of knowledge and skills, deepens understanding, and renders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academic work both relevant and consequential.</w:t>
      </w:r>
    </w:p>
    <w:p w14:paraId="6173BC54" w14:textId="77777777" w:rsidR="00D328B4" w:rsidRDefault="00D328B4" w:rsidP="003647CD">
      <w:pPr>
        <w:pStyle w:val="p1"/>
        <w:spacing w:line="240" w:lineRule="exact"/>
        <w:rPr>
          <w:sz w:val="22"/>
          <w:szCs w:val="22"/>
        </w:rPr>
      </w:pPr>
    </w:p>
    <w:p w14:paraId="23DB3419" w14:textId="6E5C2E93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EXAMPLES:</w:t>
      </w:r>
    </w:p>
    <w:p w14:paraId="01EBC680" w14:textId="258FB4FD" w:rsidR="001E44C9" w:rsidRPr="001E44C9" w:rsidRDefault="001E44C9" w:rsidP="003647CD">
      <w:pPr>
        <w:pStyle w:val="p1"/>
        <w:numPr>
          <w:ilvl w:val="0"/>
          <w:numId w:val="16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Students partner with a local organization to analyze real data using disciplinary methods, reflect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on how course concepts informed their approach, and revise their recommendations based on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stakeholder feedback. If the real client were removed, the nature of their analysis and final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product would change meaningfully.</w:t>
      </w:r>
    </w:p>
    <w:p w14:paraId="78417590" w14:textId="151F02E3" w:rsidR="001E44C9" w:rsidRPr="001E44C9" w:rsidRDefault="001E44C9" w:rsidP="003647CD">
      <w:pPr>
        <w:pStyle w:val="p1"/>
        <w:numPr>
          <w:ilvl w:val="0"/>
          <w:numId w:val="16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Students in Industrial Systems Engineering work with a local hospital operating room floor to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make the process more efficient; students are encouraged to add this to their resume and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practice developing interview answers about this experience.</w:t>
      </w:r>
    </w:p>
    <w:p w14:paraId="05DEA7AC" w14:textId="61BE820C" w:rsidR="001E44C9" w:rsidRPr="001E44C9" w:rsidRDefault="001E44C9" w:rsidP="003647CD">
      <w:pPr>
        <w:pStyle w:val="p1"/>
        <w:numPr>
          <w:ilvl w:val="0"/>
          <w:numId w:val="16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Students analyze soil samples from a construction site to determine grain size distribution and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mineral composition, applying principles of sedimentology and weathering. This information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helps engineers assess soil stability and decide whether the ground can safely support a building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foundation.</w:t>
      </w:r>
    </w:p>
    <w:p w14:paraId="77A7D26E" w14:textId="77777777" w:rsidR="00D328B4" w:rsidRDefault="00D328B4" w:rsidP="003647CD">
      <w:pPr>
        <w:pStyle w:val="p1"/>
        <w:spacing w:line="240" w:lineRule="exact"/>
        <w:rPr>
          <w:b/>
          <w:bCs/>
          <w:sz w:val="22"/>
          <w:szCs w:val="22"/>
        </w:rPr>
      </w:pPr>
    </w:p>
    <w:p w14:paraId="338E0778" w14:textId="77777777" w:rsidR="003647CD" w:rsidRDefault="003647CD" w:rsidP="003647CD">
      <w:pPr>
        <w:pStyle w:val="p1"/>
        <w:spacing w:line="240" w:lineRule="exact"/>
        <w:rPr>
          <w:b/>
          <w:bCs/>
          <w:sz w:val="22"/>
          <w:szCs w:val="22"/>
        </w:rPr>
      </w:pPr>
    </w:p>
    <w:p w14:paraId="49D3153A" w14:textId="300CD72E" w:rsidR="001E44C9" w:rsidRDefault="001E44C9" w:rsidP="001E44C9">
      <w:pPr>
        <w:pStyle w:val="p1"/>
        <w:rPr>
          <w:b/>
          <w:bCs/>
          <w:sz w:val="22"/>
          <w:szCs w:val="22"/>
        </w:rPr>
      </w:pPr>
      <w:r w:rsidRPr="001E44C9">
        <w:rPr>
          <w:b/>
          <w:bCs/>
          <w:sz w:val="22"/>
          <w:szCs w:val="22"/>
        </w:rPr>
        <w:t>8 - Public demonstration of competence</w:t>
      </w:r>
    </w:p>
    <w:p w14:paraId="392A7A79" w14:textId="77777777" w:rsidR="00D328B4" w:rsidRPr="001E44C9" w:rsidRDefault="00D328B4" w:rsidP="003647CD">
      <w:pPr>
        <w:pStyle w:val="p1"/>
        <w:spacing w:line="240" w:lineRule="exact"/>
        <w:rPr>
          <w:sz w:val="22"/>
          <w:szCs w:val="22"/>
        </w:rPr>
      </w:pPr>
    </w:p>
    <w:p w14:paraId="12E04B23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 xml:space="preserve">WHAT: </w:t>
      </w:r>
    </w:p>
    <w:p w14:paraId="065559D4" w14:textId="15BD1BCD" w:rsidR="001E44C9" w:rsidRPr="00D328B4" w:rsidRDefault="001E44C9" w:rsidP="003647CD">
      <w:pPr>
        <w:pStyle w:val="p1"/>
        <w:spacing w:line="240" w:lineRule="exact"/>
        <w:rPr>
          <w:sz w:val="22"/>
          <w:szCs w:val="22"/>
        </w:rPr>
      </w:pPr>
      <w:r w:rsidRPr="00D328B4">
        <w:rPr>
          <w:sz w:val="22"/>
          <w:szCs w:val="22"/>
        </w:rPr>
        <w:t>This dimension emphasizes students’ ability to synthesize their learning and communicate it to</w:t>
      </w:r>
      <w:r w:rsidR="00D328B4" w:rsidRPr="00D328B4">
        <w:rPr>
          <w:sz w:val="22"/>
          <w:szCs w:val="22"/>
        </w:rPr>
        <w:t xml:space="preserve"> </w:t>
      </w:r>
      <w:r w:rsidRPr="00D328B4">
        <w:rPr>
          <w:sz w:val="22"/>
          <w:szCs w:val="22"/>
        </w:rPr>
        <w:t>audiences beyond the instructor and classroom. Students will demonstrate knowledge, skills, and</w:t>
      </w:r>
      <w:r w:rsidR="00D328B4" w:rsidRPr="00D328B4">
        <w:rPr>
          <w:sz w:val="22"/>
          <w:szCs w:val="22"/>
        </w:rPr>
        <w:t xml:space="preserve"> </w:t>
      </w:r>
      <w:r w:rsidRPr="00D328B4">
        <w:rPr>
          <w:sz w:val="22"/>
          <w:szCs w:val="22"/>
        </w:rPr>
        <w:t>impact to others who can provide informed feedback or ask critical questions.</w:t>
      </w:r>
    </w:p>
    <w:p w14:paraId="594D2A0B" w14:textId="77777777" w:rsidR="00D328B4" w:rsidRDefault="00D328B4" w:rsidP="003647CD">
      <w:pPr>
        <w:pStyle w:val="p1"/>
        <w:spacing w:line="240" w:lineRule="exact"/>
        <w:rPr>
          <w:sz w:val="22"/>
          <w:szCs w:val="22"/>
        </w:rPr>
      </w:pPr>
    </w:p>
    <w:p w14:paraId="7C098EED" w14:textId="77777777" w:rsidR="003647CD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WHY:</w:t>
      </w:r>
      <w:r w:rsidR="00D328B4">
        <w:rPr>
          <w:sz w:val="22"/>
          <w:szCs w:val="22"/>
        </w:rPr>
        <w:t xml:space="preserve">  </w:t>
      </w:r>
    </w:p>
    <w:p w14:paraId="379042A6" w14:textId="5087926F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Publicly demonstrating learning and skills amplifies impact and gives student work clear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purpose and real</w:t>
      </w:r>
      <w:r w:rsidRPr="001E44C9">
        <w:rPr>
          <w:rStyle w:val="s1"/>
          <w:sz w:val="22"/>
          <w:szCs w:val="22"/>
        </w:rPr>
        <w:noBreakHyphen/>
      </w:r>
      <w:r w:rsidRPr="001E44C9">
        <w:rPr>
          <w:sz w:val="22"/>
          <w:szCs w:val="22"/>
        </w:rPr>
        <w:t>world relevance by requiring students to synthesize what they know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and explain why it matters beyond the classroom. Communicating learning to external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audiences deepens understanding, builds confidence, communication, and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professionalism; and invites meaningful feedback from others and validation that mirror</w:t>
      </w:r>
      <w:r w:rsidR="00D328B4">
        <w:rPr>
          <w:sz w:val="22"/>
          <w:szCs w:val="22"/>
        </w:rPr>
        <w:t xml:space="preserve"> </w:t>
      </w:r>
      <w:r w:rsidRPr="001E44C9">
        <w:rPr>
          <w:sz w:val="22"/>
          <w:szCs w:val="22"/>
        </w:rPr>
        <w:t>high</w:t>
      </w:r>
      <w:r w:rsidRPr="001E44C9">
        <w:rPr>
          <w:rStyle w:val="s1"/>
          <w:sz w:val="22"/>
          <w:szCs w:val="22"/>
        </w:rPr>
        <w:noBreakHyphen/>
      </w:r>
      <w:r w:rsidRPr="001E44C9">
        <w:rPr>
          <w:sz w:val="22"/>
          <w:szCs w:val="22"/>
        </w:rPr>
        <w:t>stakes professional settings.</w:t>
      </w:r>
    </w:p>
    <w:p w14:paraId="019E0386" w14:textId="77777777" w:rsidR="00D328B4" w:rsidRDefault="00D328B4" w:rsidP="003647CD">
      <w:pPr>
        <w:pStyle w:val="p1"/>
        <w:spacing w:line="240" w:lineRule="exact"/>
        <w:rPr>
          <w:sz w:val="22"/>
          <w:szCs w:val="22"/>
        </w:rPr>
      </w:pPr>
    </w:p>
    <w:p w14:paraId="3459AFA6" w14:textId="0052C00B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EXAMPLES:</w:t>
      </w:r>
    </w:p>
    <w:p w14:paraId="6FB448DF" w14:textId="25B412B8" w:rsidR="001E44C9" w:rsidRPr="001E44C9" w:rsidRDefault="001E44C9" w:rsidP="003647CD">
      <w:pPr>
        <w:pStyle w:val="p1"/>
        <w:numPr>
          <w:ilvl w:val="0"/>
          <w:numId w:val="17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Oral presentations, artist talks, exhibitions, or performances</w:t>
      </w:r>
    </w:p>
    <w:p w14:paraId="725C7D7B" w14:textId="083EDF4F" w:rsidR="001E44C9" w:rsidRPr="001E44C9" w:rsidRDefault="001E44C9" w:rsidP="003647CD">
      <w:pPr>
        <w:pStyle w:val="p1"/>
        <w:numPr>
          <w:ilvl w:val="0"/>
          <w:numId w:val="17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Community-based project reports or briefings</w:t>
      </w:r>
    </w:p>
    <w:p w14:paraId="6146DC3B" w14:textId="6F099198" w:rsidR="001E44C9" w:rsidRPr="001E44C9" w:rsidRDefault="001E44C9" w:rsidP="003647CD">
      <w:pPr>
        <w:pStyle w:val="p1"/>
        <w:numPr>
          <w:ilvl w:val="0"/>
          <w:numId w:val="17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Client reports or policy briefs</w:t>
      </w:r>
    </w:p>
    <w:p w14:paraId="767BA9B5" w14:textId="5D236163" w:rsidR="001E44C9" w:rsidRPr="001E44C9" w:rsidRDefault="001E44C9" w:rsidP="003647CD">
      <w:pPr>
        <w:pStyle w:val="p1"/>
        <w:numPr>
          <w:ilvl w:val="0"/>
          <w:numId w:val="17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Posters or presentations at Fall/Spring Research Day or other campus venues</w:t>
      </w:r>
    </w:p>
    <w:p w14:paraId="012A82A3" w14:textId="315C05D5" w:rsidR="001E44C9" w:rsidRPr="001E44C9" w:rsidRDefault="001E44C9" w:rsidP="003647CD">
      <w:pPr>
        <w:pStyle w:val="p1"/>
        <w:numPr>
          <w:ilvl w:val="0"/>
          <w:numId w:val="17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Training or instructional videos developed for use by others</w:t>
      </w:r>
    </w:p>
    <w:p w14:paraId="56E260AF" w14:textId="32588150" w:rsidR="001E44C9" w:rsidRPr="001E44C9" w:rsidRDefault="001E44C9" w:rsidP="003647CD">
      <w:pPr>
        <w:pStyle w:val="p1"/>
        <w:numPr>
          <w:ilvl w:val="0"/>
          <w:numId w:val="17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Scholarly manuscripts submitted for publication</w:t>
      </w:r>
    </w:p>
    <w:p w14:paraId="45A3FFA1" w14:textId="0865B81A" w:rsidR="001E44C9" w:rsidRPr="001E44C9" w:rsidRDefault="001E44C9" w:rsidP="003647CD">
      <w:pPr>
        <w:pStyle w:val="p1"/>
        <w:numPr>
          <w:ilvl w:val="0"/>
          <w:numId w:val="17"/>
        </w:numPr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>Presentations to campus stakeholders, alumni boards or community groups</w:t>
      </w:r>
    </w:p>
    <w:p w14:paraId="7B15A2C7" w14:textId="77777777" w:rsidR="00D328B4" w:rsidRDefault="00D328B4" w:rsidP="003647CD">
      <w:pPr>
        <w:pStyle w:val="p1"/>
        <w:spacing w:line="240" w:lineRule="exact"/>
        <w:rPr>
          <w:rStyle w:val="s3"/>
          <w:sz w:val="22"/>
          <w:szCs w:val="22"/>
        </w:rPr>
      </w:pPr>
    </w:p>
    <w:p w14:paraId="32DF968B" w14:textId="77777777" w:rsidR="003647CD" w:rsidRDefault="003647CD" w:rsidP="003647CD">
      <w:pPr>
        <w:pStyle w:val="p1"/>
        <w:spacing w:line="240" w:lineRule="exact"/>
        <w:rPr>
          <w:sz w:val="22"/>
          <w:szCs w:val="22"/>
        </w:rPr>
      </w:pPr>
    </w:p>
    <w:p w14:paraId="1B73A589" w14:textId="77777777" w:rsidR="003647CD" w:rsidRDefault="003647CD" w:rsidP="003647CD">
      <w:pPr>
        <w:pStyle w:val="p1"/>
        <w:spacing w:line="240" w:lineRule="exact"/>
        <w:rPr>
          <w:sz w:val="22"/>
          <w:szCs w:val="22"/>
        </w:rPr>
      </w:pPr>
    </w:p>
    <w:p w14:paraId="64E6F45E" w14:textId="0ABAD55F" w:rsidR="001E44C9" w:rsidRPr="001E44C9" w:rsidRDefault="001E44C9" w:rsidP="003647CD">
      <w:pPr>
        <w:pStyle w:val="p1"/>
        <w:spacing w:line="240" w:lineRule="exact"/>
        <w:rPr>
          <w:sz w:val="22"/>
          <w:szCs w:val="22"/>
        </w:rPr>
      </w:pPr>
      <w:r w:rsidRPr="001E44C9">
        <w:rPr>
          <w:sz w:val="22"/>
          <w:szCs w:val="22"/>
        </w:rPr>
        <w:t xml:space="preserve">Kuh, G. D. (2008). </w:t>
      </w:r>
      <w:r w:rsidRPr="001E44C9">
        <w:rPr>
          <w:i/>
          <w:iCs/>
          <w:sz w:val="22"/>
          <w:szCs w:val="22"/>
        </w:rPr>
        <w:t>High-impact educational practices: What they are, who has access to them, and</w:t>
      </w:r>
      <w:r w:rsidR="00D328B4">
        <w:rPr>
          <w:sz w:val="22"/>
          <w:szCs w:val="22"/>
        </w:rPr>
        <w:t xml:space="preserve"> </w:t>
      </w:r>
      <w:r w:rsidRPr="001E44C9">
        <w:rPr>
          <w:i/>
          <w:iCs/>
          <w:sz w:val="22"/>
          <w:szCs w:val="22"/>
        </w:rPr>
        <w:t>why they matter</w:t>
      </w:r>
      <w:r w:rsidRPr="001E44C9">
        <w:rPr>
          <w:sz w:val="22"/>
          <w:szCs w:val="22"/>
        </w:rPr>
        <w:t>. Association of American Colleges and Universities.</w:t>
      </w:r>
    </w:p>
    <w:sectPr w:rsidR="001E44C9" w:rsidRPr="001E44C9" w:rsidSect="001E44C9">
      <w:footerReference w:type="even" r:id="rId7"/>
      <w:footerReference w:type="default" r:id="rId8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7E95" w14:textId="77777777" w:rsidR="005D73CB" w:rsidRDefault="005D73CB" w:rsidP="003647CD">
      <w:r>
        <w:separator/>
      </w:r>
    </w:p>
  </w:endnote>
  <w:endnote w:type="continuationSeparator" w:id="0">
    <w:p w14:paraId="7E9CDC1C" w14:textId="77777777" w:rsidR="005D73CB" w:rsidRDefault="005D73CB" w:rsidP="0036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toshi">
    <w:panose1 w:val="00000000000000000000"/>
    <w:charset w:val="4D"/>
    <w:family w:val="auto"/>
    <w:notTrueType/>
    <w:pitch w:val="variable"/>
    <w:sig w:usb0="8000004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5073591"/>
      <w:docPartObj>
        <w:docPartGallery w:val="Page Numbers (Bottom of Page)"/>
        <w:docPartUnique/>
      </w:docPartObj>
    </w:sdtPr>
    <w:sdtContent>
      <w:p w14:paraId="2AFF542F" w14:textId="514392C5" w:rsidR="003647CD" w:rsidRDefault="003647CD" w:rsidP="006235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A16E296" w14:textId="77777777" w:rsidR="003647CD" w:rsidRDefault="003647CD" w:rsidP="00364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5349764"/>
      <w:docPartObj>
        <w:docPartGallery w:val="Page Numbers (Bottom of Page)"/>
        <w:docPartUnique/>
      </w:docPartObj>
    </w:sdtPr>
    <w:sdtContent>
      <w:p w14:paraId="2711B738" w14:textId="3B922CB6" w:rsidR="003647CD" w:rsidRDefault="003647CD" w:rsidP="006235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B48E8A4" w14:textId="77777777" w:rsidR="003647CD" w:rsidRDefault="003647CD" w:rsidP="00364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0157" w14:textId="77777777" w:rsidR="005D73CB" w:rsidRDefault="005D73CB" w:rsidP="003647CD">
      <w:r>
        <w:separator/>
      </w:r>
    </w:p>
  </w:footnote>
  <w:footnote w:type="continuationSeparator" w:id="0">
    <w:p w14:paraId="4EC8729D" w14:textId="77777777" w:rsidR="005D73CB" w:rsidRDefault="005D73CB" w:rsidP="0036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227A"/>
    <w:multiLevelType w:val="hybridMultilevel"/>
    <w:tmpl w:val="CB482E52"/>
    <w:lvl w:ilvl="0" w:tplc="DE8E7AF4">
      <w:start w:val="2"/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C39DD"/>
    <w:multiLevelType w:val="hybridMultilevel"/>
    <w:tmpl w:val="45E0F7E8"/>
    <w:lvl w:ilvl="0" w:tplc="DE8E7AF4">
      <w:start w:val="2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786"/>
    <w:multiLevelType w:val="hybridMultilevel"/>
    <w:tmpl w:val="AFD8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3B83"/>
    <w:multiLevelType w:val="hybridMultilevel"/>
    <w:tmpl w:val="A35A2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823BE0"/>
    <w:multiLevelType w:val="hybridMultilevel"/>
    <w:tmpl w:val="68D2C5FC"/>
    <w:lvl w:ilvl="0" w:tplc="DE8E7AF4">
      <w:start w:val="2"/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5201C"/>
    <w:multiLevelType w:val="hybridMultilevel"/>
    <w:tmpl w:val="260272E4"/>
    <w:lvl w:ilvl="0" w:tplc="DE8E7AF4">
      <w:start w:val="2"/>
      <w:numFmt w:val="bullet"/>
      <w:lvlText w:val="•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76E5B"/>
    <w:multiLevelType w:val="hybridMultilevel"/>
    <w:tmpl w:val="C1DE0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367DB1"/>
    <w:multiLevelType w:val="hybridMultilevel"/>
    <w:tmpl w:val="953CC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000120"/>
    <w:multiLevelType w:val="hybridMultilevel"/>
    <w:tmpl w:val="8F1E0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41420E"/>
    <w:multiLevelType w:val="hybridMultilevel"/>
    <w:tmpl w:val="5016E240"/>
    <w:lvl w:ilvl="0" w:tplc="DE8E7AF4">
      <w:start w:val="2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32668"/>
    <w:multiLevelType w:val="hybridMultilevel"/>
    <w:tmpl w:val="5A6C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01B71"/>
    <w:multiLevelType w:val="hybridMultilevel"/>
    <w:tmpl w:val="C46AA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F40137"/>
    <w:multiLevelType w:val="hybridMultilevel"/>
    <w:tmpl w:val="9850C406"/>
    <w:lvl w:ilvl="0" w:tplc="DE8E7AF4">
      <w:start w:val="2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61879"/>
    <w:multiLevelType w:val="hybridMultilevel"/>
    <w:tmpl w:val="06AA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044F9"/>
    <w:multiLevelType w:val="hybridMultilevel"/>
    <w:tmpl w:val="A6E8A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87737A"/>
    <w:multiLevelType w:val="hybridMultilevel"/>
    <w:tmpl w:val="48A42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17A2C"/>
    <w:multiLevelType w:val="hybridMultilevel"/>
    <w:tmpl w:val="16A88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1965037">
    <w:abstractNumId w:val="10"/>
  </w:num>
  <w:num w:numId="2" w16cid:durableId="483590443">
    <w:abstractNumId w:val="9"/>
  </w:num>
  <w:num w:numId="3" w16cid:durableId="1534417110">
    <w:abstractNumId w:val="5"/>
  </w:num>
  <w:num w:numId="4" w16cid:durableId="490408278">
    <w:abstractNumId w:val="12"/>
  </w:num>
  <w:num w:numId="5" w16cid:durableId="2096433673">
    <w:abstractNumId w:val="4"/>
  </w:num>
  <w:num w:numId="6" w16cid:durableId="1749570053">
    <w:abstractNumId w:val="8"/>
  </w:num>
  <w:num w:numId="7" w16cid:durableId="1367759105">
    <w:abstractNumId w:val="2"/>
  </w:num>
  <w:num w:numId="8" w16cid:durableId="1659771569">
    <w:abstractNumId w:val="1"/>
  </w:num>
  <w:num w:numId="9" w16cid:durableId="354116388">
    <w:abstractNumId w:val="0"/>
  </w:num>
  <w:num w:numId="10" w16cid:durableId="983244291">
    <w:abstractNumId w:val="16"/>
  </w:num>
  <w:num w:numId="11" w16cid:durableId="189689397">
    <w:abstractNumId w:val="3"/>
  </w:num>
  <w:num w:numId="12" w16cid:durableId="401762160">
    <w:abstractNumId w:val="13"/>
  </w:num>
  <w:num w:numId="13" w16cid:durableId="1363628471">
    <w:abstractNumId w:val="15"/>
  </w:num>
  <w:num w:numId="14" w16cid:durableId="779304111">
    <w:abstractNumId w:val="7"/>
  </w:num>
  <w:num w:numId="15" w16cid:durableId="350107983">
    <w:abstractNumId w:val="11"/>
  </w:num>
  <w:num w:numId="16" w16cid:durableId="43482853">
    <w:abstractNumId w:val="14"/>
  </w:num>
  <w:num w:numId="17" w16cid:durableId="1877890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C9"/>
    <w:rsid w:val="000309DF"/>
    <w:rsid w:val="000A3992"/>
    <w:rsid w:val="000A4D3F"/>
    <w:rsid w:val="00112C86"/>
    <w:rsid w:val="001E44C9"/>
    <w:rsid w:val="003647CD"/>
    <w:rsid w:val="003865EE"/>
    <w:rsid w:val="003E57BA"/>
    <w:rsid w:val="00432D0E"/>
    <w:rsid w:val="005D73CB"/>
    <w:rsid w:val="00774071"/>
    <w:rsid w:val="007D4D1E"/>
    <w:rsid w:val="008B76AA"/>
    <w:rsid w:val="00935EFB"/>
    <w:rsid w:val="00D3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0EFD9"/>
  <w15:chartTrackingRefBased/>
  <w15:docId w15:val="{BA6EEEAE-EBC4-FE45-A1CE-13C234A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4C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E44C9"/>
    <w:rPr>
      <w:rFonts w:ascii="Satoshi" w:eastAsia="Times New Roman" w:hAnsi="Satoshi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1E44C9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efaultParagraphFont"/>
    <w:rsid w:val="001E44C9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1E44C9"/>
    <w:rPr>
      <w:rFonts w:ascii="Helvetica" w:hAnsi="Helvetica" w:hint="default"/>
      <w:sz w:val="18"/>
      <w:szCs w:val="18"/>
    </w:rPr>
  </w:style>
  <w:style w:type="character" w:customStyle="1" w:styleId="s5">
    <w:name w:val="s5"/>
    <w:basedOn w:val="DefaultParagraphFont"/>
    <w:rsid w:val="001E44C9"/>
    <w:rPr>
      <w:rFonts w:ascii="Helvetica" w:hAnsi="Helvetica" w:hint="default"/>
      <w:sz w:val="15"/>
      <w:szCs w:val="15"/>
    </w:rPr>
  </w:style>
  <w:style w:type="character" w:customStyle="1" w:styleId="s6">
    <w:name w:val="s6"/>
    <w:basedOn w:val="DefaultParagraphFont"/>
    <w:rsid w:val="001E44C9"/>
    <w:rPr>
      <w:rFonts w:ascii="Arial" w:hAnsi="Arial" w:cs="Arial" w:hint="default"/>
      <w:sz w:val="15"/>
      <w:szCs w:val="15"/>
    </w:rPr>
  </w:style>
  <w:style w:type="character" w:customStyle="1" w:styleId="s7">
    <w:name w:val="s7"/>
    <w:basedOn w:val="DefaultParagraphFont"/>
    <w:rsid w:val="001E44C9"/>
    <w:rPr>
      <w:color w:val="386573"/>
    </w:rPr>
  </w:style>
  <w:style w:type="paragraph" w:styleId="Footer">
    <w:name w:val="footer"/>
    <w:basedOn w:val="Normal"/>
    <w:link w:val="FooterChar"/>
    <w:uiPriority w:val="99"/>
    <w:unhideWhenUsed/>
    <w:rsid w:val="00364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CD"/>
  </w:style>
  <w:style w:type="character" w:styleId="PageNumber">
    <w:name w:val="page number"/>
    <w:basedOn w:val="DefaultParagraphFont"/>
    <w:uiPriority w:val="99"/>
    <w:semiHidden/>
    <w:unhideWhenUsed/>
    <w:rsid w:val="0036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B0CADCD5A3149B4B2F9BF58C96577" ma:contentTypeVersion="3" ma:contentTypeDescription="Create a new document." ma:contentTypeScope="" ma:versionID="67dac690a3004255360369eeb9c4e856">
  <xsd:schema xmlns:xsd="http://www.w3.org/2001/XMLSchema" xmlns:xs="http://www.w3.org/2001/XMLSchema" xmlns:p="http://schemas.microsoft.com/office/2006/metadata/properties" xmlns:ns2="4c26a739-8eb8-49ca-81ef-6b54e96db0e6" targetNamespace="http://schemas.microsoft.com/office/2006/metadata/properties" ma:root="true" ma:fieldsID="20c7c27dc26911f7392eb8df6e14ce45" ns2:_="">
    <xsd:import namespace="4c26a739-8eb8-49ca-81ef-6b54e96db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6a739-8eb8-49ca-81ef-6b54e96db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65FEC-7E38-4C55-A5F1-9F5603F57C21}"/>
</file>

<file path=customXml/itemProps2.xml><?xml version="1.0" encoding="utf-8"?>
<ds:datastoreItem xmlns:ds="http://schemas.openxmlformats.org/officeDocument/2006/customXml" ds:itemID="{05FD0EAC-A0D2-4AC9-97EC-AC7A61D75775}"/>
</file>

<file path=customXml/itemProps3.xml><?xml version="1.0" encoding="utf-8"?>
<ds:datastoreItem xmlns:ds="http://schemas.openxmlformats.org/officeDocument/2006/customXml" ds:itemID="{71F8C64B-4105-4C37-9407-E0261E515F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Blockus, Linda</dc:creator>
  <cp:keywords/>
  <dc:description/>
  <cp:lastModifiedBy>Blockus, Linda</cp:lastModifiedBy>
  <cp:revision>1</cp:revision>
  <cp:lastPrinted>2026-05-20T17:15:00Z</cp:lastPrinted>
  <dcterms:created xsi:type="dcterms:W3CDTF">2026-05-20T16:35:00Z</dcterms:created>
  <dcterms:modified xsi:type="dcterms:W3CDTF">2026-05-20T17:16:00Z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0x010100E33B0CADCD5A3149B4B2F9BF58C96577</vt:lpwstr>
  </property>
</Properties>
</file>